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color w:val="000000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公共服务事项清理情况表</w:t>
      </w:r>
    </w:p>
    <w:p>
      <w:pPr>
        <w:spacing w:line="500" w:lineRule="exact"/>
        <w:ind w:firstLine="160" w:firstLineChars="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报送单位：淮北市建投控股集团有限公司（盖章）                    时间：2016年9月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tbl>
      <w:tblPr>
        <w:tblStyle w:val="5"/>
        <w:tblW w:w="13092" w:type="dxa"/>
        <w:jc w:val="center"/>
        <w:tblInd w:w="-1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93"/>
        <w:gridCol w:w="4032"/>
        <w:gridCol w:w="1860"/>
        <w:gridCol w:w="195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2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办理依据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实施单位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共同实施单位</w:t>
            </w:r>
          </w:p>
        </w:tc>
        <w:tc>
          <w:tcPr>
            <w:tcW w:w="27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3" w:type="dxa"/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</w:rPr>
              <w:t>税融通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担保服务</w:t>
            </w:r>
          </w:p>
        </w:tc>
        <w:tc>
          <w:tcPr>
            <w:tcW w:w="4032" w:type="dxa"/>
            <w:textDirection w:val="lrTb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</w:rPr>
              <w:t>皖金（</w:t>
            </w:r>
            <w:r>
              <w:rPr>
                <w:color w:val="000000"/>
                <w:kern w:val="0"/>
              </w:rPr>
              <w:t>2015</w:t>
            </w:r>
            <w:r>
              <w:rPr>
                <w:rFonts w:hint="eastAsia" w:cs="宋体"/>
                <w:color w:val="000000"/>
                <w:kern w:val="0"/>
              </w:rPr>
              <w:t>）</w:t>
            </w:r>
            <w:r>
              <w:rPr>
                <w:color w:val="000000"/>
                <w:kern w:val="0"/>
              </w:rPr>
              <w:t>66</w:t>
            </w:r>
            <w:r>
              <w:rPr>
                <w:rFonts w:hint="eastAsia" w:cs="宋体"/>
                <w:color w:val="000000"/>
                <w:kern w:val="0"/>
              </w:rPr>
              <w:t>号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《关于印发实施税融通业务的若干意见的通知》开展主体中要求各级政策性融资担保机构、税务部门以及银行要建立沟通机制，对符合条件的申请企业提供担保增信服务。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/>
                <w:color w:val="000000"/>
                <w:kern w:val="0"/>
              </w:rPr>
              <w:t>淮金办（</w:t>
            </w:r>
            <w:r>
              <w:rPr>
                <w:color w:val="000000"/>
                <w:kern w:val="0"/>
              </w:rPr>
              <w:t>2015</w:t>
            </w:r>
            <w:r>
              <w:rPr>
                <w:rFonts w:hint="eastAsia" w:cs="宋体"/>
                <w:color w:val="000000"/>
                <w:kern w:val="0"/>
              </w:rPr>
              <w:t>）</w:t>
            </w:r>
            <w:r>
              <w:rPr>
                <w:color w:val="000000"/>
                <w:kern w:val="0"/>
              </w:rPr>
              <w:t>71</w:t>
            </w:r>
            <w:r>
              <w:rPr>
                <w:rFonts w:hint="eastAsia" w:cs="宋体"/>
                <w:color w:val="000000"/>
                <w:kern w:val="0"/>
              </w:rPr>
              <w:t>号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淮北市“税融通”业务实施细则》第四条要求各级政策性融资担保机构、税务部门以及银行要建立沟通机制，对符合条件的申请企业提供担保增信服务。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</w:rPr>
              <w:t>淮北市同创融资担保集团有限公司</w:t>
            </w:r>
          </w:p>
        </w:tc>
        <w:tc>
          <w:tcPr>
            <w:tcW w:w="1959" w:type="dxa"/>
            <w:textDirection w:val="lrTb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cs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cs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</w:rPr>
              <w:t>各家银行</w:t>
            </w:r>
          </w:p>
        </w:tc>
        <w:tc>
          <w:tcPr>
            <w:tcW w:w="2766" w:type="dxa"/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</w:rPr>
              <w:t>法人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应有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2年及以上纳税记录、无不良信用记录、具有按期偿付贷款本息能力、纳税信用级别不低于B级）</w:t>
            </w:r>
          </w:p>
        </w:tc>
      </w:tr>
    </w:tbl>
    <w:p>
      <w:pPr>
        <w:spacing w:line="300" w:lineRule="exact"/>
      </w:pPr>
      <w:r>
        <w:rPr>
          <w:rFonts w:eastAsia="方正仿宋_GBK"/>
          <w:color w:val="000000"/>
          <w:kern w:val="0"/>
          <w:sz w:val="24"/>
        </w:rPr>
        <w:t>备注：1.本表供市直各单位在事项梳理填报时使用，表格填写后需由单位主要负责人签字加盖公章报送市编办。2．应对公共服务事项按保留、取消、其他等进行分类清理，并提出清理理由，在“清理意见及理由”栏注明。3．公共服务事项应为具体服务行为，事项名称应规范填写，其中，证明类事项用▲标注，“点菜型”事项用★标注。4．办理依据应填写法律法规规章以及规范性文件或承诺书的名称、具体条款及内容，无文件依据的应提供该事项是经常性、常态化为群众认可的公共服务事项理由。5．实施单位和共同实施单位要填写规范全称。6．服务对象需填写个人（公民）、法人、社会组织等。</w:t>
      </w:r>
      <w:r>
        <w:rPr>
          <w:rFonts w:hint="eastAsia" w:eastAsia="方正仿宋_GBK"/>
          <w:color w:val="000000"/>
          <w:kern w:val="0"/>
          <w:sz w:val="24"/>
        </w:rPr>
        <w:t>7.网上办理意见指公共服务事项是否可以网上办理，分为可以、部分可以或者不可以。8</w:t>
      </w:r>
      <w:r>
        <w:rPr>
          <w:rFonts w:eastAsia="方正仿宋_GBK"/>
          <w:color w:val="000000"/>
          <w:kern w:val="0"/>
          <w:sz w:val="24"/>
        </w:rPr>
        <w:t>．备注，填写需要补充说明的事项，如市县同步实施等。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F1230C3"/>
    <w:rsid w:val="001F25FC"/>
    <w:rsid w:val="008C3A65"/>
    <w:rsid w:val="00901DFD"/>
    <w:rsid w:val="00991829"/>
    <w:rsid w:val="00C577FE"/>
    <w:rsid w:val="00F0784F"/>
    <w:rsid w:val="04D33BED"/>
    <w:rsid w:val="06EA02F0"/>
    <w:rsid w:val="09EB09D7"/>
    <w:rsid w:val="0DDC0A9C"/>
    <w:rsid w:val="133C14D1"/>
    <w:rsid w:val="14585B36"/>
    <w:rsid w:val="14A401B4"/>
    <w:rsid w:val="151653AB"/>
    <w:rsid w:val="15EF26C7"/>
    <w:rsid w:val="162030C2"/>
    <w:rsid w:val="18BE126E"/>
    <w:rsid w:val="1A512390"/>
    <w:rsid w:val="1F965D0D"/>
    <w:rsid w:val="21BD194B"/>
    <w:rsid w:val="23C20FDB"/>
    <w:rsid w:val="2885124F"/>
    <w:rsid w:val="28DC603C"/>
    <w:rsid w:val="2BA843FB"/>
    <w:rsid w:val="2C5E72D6"/>
    <w:rsid w:val="2FB33FD0"/>
    <w:rsid w:val="324D288E"/>
    <w:rsid w:val="356B0FF6"/>
    <w:rsid w:val="391B06CC"/>
    <w:rsid w:val="3BFB6F97"/>
    <w:rsid w:val="3C245EF4"/>
    <w:rsid w:val="3D226E25"/>
    <w:rsid w:val="3E9E083C"/>
    <w:rsid w:val="462F24DB"/>
    <w:rsid w:val="464456F6"/>
    <w:rsid w:val="475C08C8"/>
    <w:rsid w:val="47C60B2E"/>
    <w:rsid w:val="48257DD6"/>
    <w:rsid w:val="4BF76781"/>
    <w:rsid w:val="4C3F5945"/>
    <w:rsid w:val="4EEA4020"/>
    <w:rsid w:val="4FA5620A"/>
    <w:rsid w:val="50811AA7"/>
    <w:rsid w:val="53351A1D"/>
    <w:rsid w:val="548A0918"/>
    <w:rsid w:val="599D6C83"/>
    <w:rsid w:val="5A9519B1"/>
    <w:rsid w:val="5D391D07"/>
    <w:rsid w:val="5E00553E"/>
    <w:rsid w:val="5F1230C3"/>
    <w:rsid w:val="63723405"/>
    <w:rsid w:val="646D5C4F"/>
    <w:rsid w:val="662749DC"/>
    <w:rsid w:val="66AC75A1"/>
    <w:rsid w:val="67D67FBB"/>
    <w:rsid w:val="69220117"/>
    <w:rsid w:val="6FAD7887"/>
    <w:rsid w:val="703A24DD"/>
    <w:rsid w:val="72281EE4"/>
    <w:rsid w:val="73AD29CB"/>
    <w:rsid w:val="7E9B334E"/>
    <w:rsid w:val="7F11103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868</Characters>
  <Lines>7</Lines>
  <Paragraphs>2</Paragraphs>
  <ScaleCrop>false</ScaleCrop>
  <LinksUpToDate>false</LinksUpToDate>
  <CharactersWithSpaces>1018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2016-09-11T13:13:00Z</dcterms:created>
  <dc:creator>Administrator</dc:creator>
  <cp:lastModifiedBy>Administrator</cp:lastModifiedBy>
  <cp:lastPrinted>2016-09-21T03:16:00Z</cp:lastPrinted>
  <dcterms:modified xsi:type="dcterms:W3CDTF">2016-10-21T07:30:44Z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